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1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64"/>
        <w:gridCol w:w="1067"/>
        <w:gridCol w:w="1706"/>
        <w:gridCol w:w="955"/>
        <w:gridCol w:w="736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12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邵阳市司法局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行政执法（法律服务）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邵阳市司法局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2021年1月-12月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提高政府依法决策水平，全面推进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法治邵阳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社区矫正工作健康有序开展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促进人民调解工作规范化。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规范人民监督员选任和管理工作，健全检察权行使的外部监督制约机制。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律师参与涉法涉诉信访案件值班接访，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维护社会和谐稳定。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为政府重大决策、项目谈判、热点、难点问题处理提供专业法律服务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围绕我市中心工作制定地方性法规、政府规章；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依法依规办理行政复议应诉案件，推进本市行政复议体制改革。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1"/>
                <w:szCs w:val="21"/>
                <w:shd w:val="clear" w:fill="FFFFFF"/>
              </w:rPr>
              <w:t>行政执法证、行政执法监督证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1"/>
                <w:szCs w:val="21"/>
                <w:shd w:val="clear" w:fill="FFFFFF"/>
                <w:lang w:eastAsia="zh-CN"/>
              </w:rPr>
              <w:t>考试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培训工作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切实加强社区矫正对象的监督管理和教育帮扶，确保安全稳定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加大人民调解“以奖代补”经费保障力度，进一步调动调解员的积极性、主动性，把矛盾纠纷化解在基层、解决在萌芽状态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完成年度人民监督员选任、培训及履职工作。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律师值班接访，有针对性地做好释法析理、提出处理建议、引导或代理申诉等工作，引导上访人员依法理性表达诉求，促进信访答疑、初访劝回和老案化解。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`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强化法律顾问单位、兼职、专职法律顾问日常管理监督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法律顾问（1家5名）、单位兼职（5名）、专职法律顾问（5名）组成的市政府法律顾问团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全市人民调解案件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　3万件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对人民监督员进行选任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包含县市区人员，以实际人数为准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律师值班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180次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立法计划编制、组织地方性法规草案、规章草案制定、办理行政复议案件、开展两证培训、案件评审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承办复议案件数≧200件，应诉案件≧150件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全市约2.8万行政执法人员参加培训，案件评审约500本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突出抓好社区矫正对象监督管理和教育帮扶工作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小于或等于80%　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法律顾问参与政府涉法事务办理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处理各类涉法事务500以上人次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人民调解成功率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95%以上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对人民监督员进行培训及履职管理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选任合格的监督员，并加强培训，有较高的履职能力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律师值班接访群众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300人次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切实提高地方性法规、市政府规章起草质量，充分发挥行政复议、行政应诉工作化解行政争议的主渠道作用，畅通复议渠道，公正审理案件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紧跟我市经济发展过程中出现的各类问题，推进精细化立法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公平公开公正，应受尽受，应办尽办。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规范社区矫正对象日常监管、居住地变更、奖惩、事项审批等事项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小于或等于75%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2021年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2021年1月-12月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严格项目预算管理，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勤俭节约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，确保收支平衡。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小于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171万元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为营造全市良好营商环境提供法治保障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促进邵阳健康发展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提高法治政府建设水平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减少行政纠纷，提高政府公信力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提高法治邵阳水平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生态领域政府依法决策水平提高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政府依法行政实现常态化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建立健全政府依法决策机制　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社会公众对政府涉法工作效能满意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群众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满意度逐步提高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促进社会稳定和谐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省司法厅和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市绩效考核办考核确定的目标值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晏全心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5324400</w:t>
      </w:r>
      <w:r>
        <w:rPr>
          <w:rFonts w:hint="eastAsia" w:ascii="仿宋_GB2312" w:eastAsia="仿宋_GB2312"/>
          <w:kern w:val="0"/>
          <w:szCs w:val="21"/>
        </w:rPr>
        <w:t xml:space="preserve">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2020.12.23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曾伯华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4C979D"/>
    <w:multiLevelType w:val="singleLevel"/>
    <w:tmpl w:val="E04C97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B0CA80"/>
    <w:multiLevelType w:val="singleLevel"/>
    <w:tmpl w:val="F8B0CA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71D"/>
    <w:rsid w:val="00033BFE"/>
    <w:rsid w:val="15BE1CDB"/>
    <w:rsid w:val="17A0171D"/>
    <w:rsid w:val="1E8368E3"/>
    <w:rsid w:val="236B64B4"/>
    <w:rsid w:val="25BF252A"/>
    <w:rsid w:val="798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全心</cp:lastModifiedBy>
  <cp:lastPrinted>2020-12-23T07:23:00Z</cp:lastPrinted>
  <dcterms:modified xsi:type="dcterms:W3CDTF">2020-12-30T07:29:44Z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